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7D" w:rsidRPr="00596342" w:rsidRDefault="00AA0B7D" w:rsidP="00AA0B7D">
      <w:pPr>
        <w:pStyle w:val="Rubrik1"/>
        <w:rPr>
          <w:rFonts w:asciiTheme="minorHAnsi" w:eastAsia="Times New Roman" w:hAnsiTheme="minorHAnsi"/>
          <w:b/>
          <w:bCs/>
          <w:color w:val="000000" w:themeColor="text1"/>
          <w:lang w:eastAsia="sv-SE"/>
        </w:rPr>
      </w:pPr>
      <w:bookmarkStart w:id="0" w:name="_GoBack"/>
      <w:bookmarkEnd w:id="0"/>
      <w:r w:rsidRPr="00596342">
        <w:rPr>
          <w:rFonts w:asciiTheme="minorHAnsi" w:eastAsia="Times New Roman" w:hAnsiTheme="minorHAnsi"/>
          <w:b/>
          <w:bCs/>
          <w:color w:val="000000" w:themeColor="text1"/>
          <w:lang w:eastAsia="sv-SE"/>
        </w:rPr>
        <w:t>Sund konkurrens</w:t>
      </w:r>
      <w:r w:rsidR="0084580A" w:rsidRPr="00596342">
        <w:rPr>
          <w:rFonts w:asciiTheme="minorHAnsi" w:eastAsia="Times New Roman" w:hAnsiTheme="minorHAnsi"/>
          <w:b/>
          <w:bCs/>
          <w:color w:val="000000" w:themeColor="text1"/>
          <w:lang w:eastAsia="sv-SE"/>
        </w:rPr>
        <w:t xml:space="preserve"> </w:t>
      </w:r>
      <w:r w:rsidR="00DE2E74" w:rsidRPr="00596342">
        <w:rPr>
          <w:rFonts w:asciiTheme="minorHAnsi" w:eastAsia="Times New Roman" w:hAnsiTheme="minorHAnsi"/>
          <w:b/>
          <w:bCs/>
          <w:color w:val="000000" w:themeColor="text1"/>
          <w:lang w:eastAsia="sv-SE"/>
        </w:rPr>
        <w:t xml:space="preserve">i bygg- och anläggningssektorn </w:t>
      </w:r>
      <w:r w:rsidR="0084580A" w:rsidRPr="00596342">
        <w:rPr>
          <w:rFonts w:asciiTheme="minorHAnsi" w:eastAsia="Times New Roman" w:hAnsiTheme="minorHAnsi"/>
          <w:b/>
          <w:bCs/>
          <w:color w:val="000000" w:themeColor="text1"/>
          <w:lang w:eastAsia="sv-SE"/>
        </w:rPr>
        <w:t>– en forskningsantologi</w:t>
      </w:r>
    </w:p>
    <w:p w:rsidR="007A4B61" w:rsidRPr="00596342" w:rsidRDefault="007A4B61" w:rsidP="007A4B61">
      <w:pPr>
        <w:pStyle w:val="Normalwebb"/>
        <w:rPr>
          <w:rFonts w:asciiTheme="minorHAnsi" w:hAnsiTheme="minorHAnsi" w:cstheme="minorHAnsi"/>
          <w:b/>
          <w:bCs/>
          <w:sz w:val="22"/>
          <w:szCs w:val="22"/>
        </w:rPr>
      </w:pPr>
      <w:r w:rsidRPr="00596342">
        <w:rPr>
          <w:rFonts w:asciiTheme="minorHAnsi" w:hAnsiTheme="minorHAnsi" w:cstheme="minorHAnsi"/>
          <w:b/>
          <w:bCs/>
          <w:sz w:val="22"/>
          <w:szCs w:val="22"/>
        </w:rPr>
        <w:t xml:space="preserve">SBUF-projektnummer: </w:t>
      </w:r>
      <w:proofErr w:type="gramStart"/>
      <w:r w:rsidRPr="00596342">
        <w:rPr>
          <w:rFonts w:asciiTheme="minorHAnsi" w:hAnsiTheme="minorHAnsi" w:cstheme="minorHAnsi"/>
          <w:b/>
          <w:bCs/>
          <w:position w:val="-2"/>
          <w:sz w:val="22"/>
          <w:szCs w:val="22"/>
        </w:rPr>
        <w:t>13812</w:t>
      </w:r>
      <w:proofErr w:type="gramEnd"/>
      <w:r w:rsidRPr="00596342">
        <w:rPr>
          <w:rFonts w:asciiTheme="minorHAnsi" w:hAnsiTheme="minorHAnsi" w:cstheme="minorHAnsi"/>
          <w:b/>
          <w:bCs/>
          <w:position w:val="-2"/>
          <w:sz w:val="22"/>
          <w:szCs w:val="22"/>
        </w:rPr>
        <w:t xml:space="preserve"> </w:t>
      </w:r>
    </w:p>
    <w:p w:rsidR="001E74E9" w:rsidRPr="00596342" w:rsidRDefault="0020698F" w:rsidP="00044CFE">
      <w:pPr>
        <w:spacing w:after="100" w:afterAutospacing="1"/>
        <w:ind w:right="-283"/>
        <w:rPr>
          <w:rFonts w:asciiTheme="minorHAnsi" w:eastAsia="Times New Roman" w:hAnsiTheme="minorHAnsi" w:cs="Calibri"/>
        </w:rPr>
      </w:pPr>
      <w:r w:rsidRPr="00596342">
        <w:rPr>
          <w:rFonts w:asciiTheme="minorHAnsi" w:eastAsia="Times New Roman" w:hAnsiTheme="minorHAnsi" w:cstheme="minorHAnsi"/>
          <w:szCs w:val="22"/>
          <w:lang w:eastAsia="sv-SE"/>
        </w:rPr>
        <w:t xml:space="preserve">Sund konkurrens inom bygg- och anläggningssektorn är ett av fyra fokusområden för </w:t>
      </w:r>
      <w:r w:rsidR="00B84A9A" w:rsidRPr="00596342">
        <w:rPr>
          <w:rFonts w:asciiTheme="minorHAnsi" w:eastAsia="Times New Roman" w:hAnsiTheme="minorHAnsi" w:cstheme="minorHAnsi"/>
          <w:szCs w:val="22"/>
          <w:lang w:eastAsia="sv-SE"/>
        </w:rPr>
        <w:t>Byggföretagen</w:t>
      </w:r>
      <w:r w:rsidRPr="00596342">
        <w:rPr>
          <w:rFonts w:asciiTheme="minorHAnsi" w:eastAsia="Times New Roman" w:hAnsiTheme="minorHAnsi" w:cstheme="minorHAnsi"/>
          <w:szCs w:val="22"/>
          <w:lang w:eastAsia="sv-SE"/>
        </w:rPr>
        <w:t xml:space="preserve">. </w:t>
      </w:r>
      <w:r w:rsidR="00743088" w:rsidRPr="00596342">
        <w:rPr>
          <w:rFonts w:asciiTheme="minorHAnsi" w:eastAsia="Times New Roman" w:hAnsiTheme="minorHAnsi" w:cstheme="minorHAnsi"/>
          <w:szCs w:val="22"/>
          <w:lang w:eastAsia="sv-SE"/>
        </w:rPr>
        <w:t>F</w:t>
      </w:r>
      <w:r w:rsidRPr="00596342">
        <w:rPr>
          <w:rFonts w:asciiTheme="minorHAnsi" w:eastAsia="Times New Roman" w:hAnsiTheme="minorHAnsi" w:cstheme="minorHAnsi"/>
          <w:szCs w:val="22"/>
          <w:lang w:eastAsia="sv-SE"/>
        </w:rPr>
        <w:t>rågan är av största betydelse</w:t>
      </w:r>
      <w:r w:rsidRPr="00596342">
        <w:rPr>
          <w:rFonts w:asciiTheme="minorHAnsi" w:eastAsia="Times New Roman" w:hAnsiTheme="minorHAnsi" w:cs="Calibri"/>
          <w:lang w:eastAsia="sv-SE"/>
        </w:rPr>
        <w:t xml:space="preserve"> för </w:t>
      </w:r>
      <w:r w:rsidR="00B84A9A" w:rsidRPr="00596342">
        <w:rPr>
          <w:rFonts w:asciiTheme="minorHAnsi" w:eastAsia="Times New Roman" w:hAnsiTheme="minorHAnsi" w:cs="Calibri"/>
          <w:lang w:eastAsia="sv-SE"/>
        </w:rPr>
        <w:t>bygg- och anläggnings</w:t>
      </w:r>
      <w:r w:rsidRPr="00596342">
        <w:rPr>
          <w:rFonts w:asciiTheme="minorHAnsi" w:eastAsia="Times New Roman" w:hAnsiTheme="minorHAnsi" w:cs="Calibri"/>
          <w:lang w:eastAsia="sv-SE"/>
        </w:rPr>
        <w:t xml:space="preserve">företagen, sektorn och samhället i övrigt. </w:t>
      </w:r>
      <w:r w:rsidRPr="00596342">
        <w:rPr>
          <w:rFonts w:asciiTheme="minorHAnsi" w:eastAsia="Times New Roman" w:hAnsiTheme="minorHAnsi" w:cs="Calibri"/>
        </w:rPr>
        <w:t xml:space="preserve">Effekterna av osund konkurrens är att seriösa företag, som följer lagar och regler, riskerar att slås ut. </w:t>
      </w:r>
    </w:p>
    <w:p w:rsidR="00B84A9A" w:rsidRPr="00596342" w:rsidRDefault="00B84A9A" w:rsidP="00B84A9A">
      <w:pPr>
        <w:spacing w:after="100" w:afterAutospacing="1"/>
        <w:ind w:right="-283"/>
        <w:rPr>
          <w:rFonts w:asciiTheme="minorHAnsi" w:eastAsia="Times New Roman" w:hAnsiTheme="minorHAnsi" w:cs="Calibri"/>
        </w:rPr>
      </w:pPr>
      <w:r w:rsidRPr="00596342">
        <w:rPr>
          <w:rFonts w:asciiTheme="minorHAnsi" w:eastAsia="Times New Roman" w:hAnsiTheme="minorHAnsi" w:cs="Calibri"/>
        </w:rPr>
        <w:t xml:space="preserve">Byggföretagen </w:t>
      </w:r>
      <w:r w:rsidR="006F42F0" w:rsidRPr="00596342">
        <w:rPr>
          <w:rFonts w:asciiTheme="minorHAnsi" w:eastAsia="Times New Roman" w:hAnsiTheme="minorHAnsi" w:cs="Calibri"/>
        </w:rPr>
        <w:t xml:space="preserve">driver </w:t>
      </w:r>
      <w:r w:rsidRPr="00596342">
        <w:rPr>
          <w:rFonts w:asciiTheme="minorHAnsi" w:eastAsia="Times New Roman" w:hAnsiTheme="minorHAnsi" w:cs="Calibri"/>
        </w:rPr>
        <w:t>tillsammans med övriga arbetsgivarorganisationer och fack</w:t>
      </w:r>
      <w:r w:rsidR="00596342" w:rsidRPr="00596342">
        <w:rPr>
          <w:rFonts w:asciiTheme="minorHAnsi" w:eastAsia="Times New Roman" w:hAnsiTheme="minorHAnsi" w:cs="Calibri"/>
        </w:rPr>
        <w:t>en</w:t>
      </w:r>
      <w:r w:rsidRPr="00596342">
        <w:rPr>
          <w:rFonts w:asciiTheme="minorHAnsi" w:eastAsia="Times New Roman" w:hAnsiTheme="minorHAnsi" w:cs="Calibri"/>
        </w:rPr>
        <w:t xml:space="preserve"> ett arbete för att åstadkomma sund konkurrens. </w:t>
      </w:r>
      <w:r w:rsidR="007A4B61" w:rsidRPr="00596342">
        <w:rPr>
          <w:rFonts w:asciiTheme="minorHAnsi" w:eastAsia="Times New Roman" w:hAnsiTheme="minorHAnsi" w:cs="Calibri"/>
        </w:rPr>
        <w:t xml:space="preserve">Tack </w:t>
      </w:r>
      <w:r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>vare att många aktörer i och omkring branschen har varit involverade finns det en bred och förankrad bas från ”praktiken” att stå på inför det fortsatta arbetet. </w:t>
      </w:r>
    </w:p>
    <w:p w:rsidR="006F42F0" w:rsidRPr="00596342" w:rsidRDefault="00B84A9A" w:rsidP="00B84A9A">
      <w:pPr>
        <w:ind w:right="-283"/>
        <w:rPr>
          <w:rFonts w:asciiTheme="minorHAnsi" w:eastAsia="Times New Roman" w:hAnsiTheme="minorHAnsi" w:cs="Calibri"/>
          <w:color w:val="000000"/>
          <w:szCs w:val="22"/>
          <w:lang w:eastAsia="sv-SE"/>
        </w:rPr>
      </w:pPr>
      <w:r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 xml:space="preserve">För att åstadkomma en mer fördjupad bild av sund konkurrens har en forskningsantologi tagits fram. Forskare från Sverige, Norge och Finland </w:t>
      </w:r>
      <w:r w:rsidR="007A4B61"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>har</w:t>
      </w:r>
      <w:r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 xml:space="preserve"> beskriv</w:t>
      </w:r>
      <w:r w:rsidR="007A4B61"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>it</w:t>
      </w:r>
      <w:r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 xml:space="preserve"> och reflektera</w:t>
      </w:r>
      <w:r w:rsidR="007A4B61"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>t</w:t>
      </w:r>
      <w:r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 xml:space="preserve"> över olika aspekter på sund konkurrens och vad som är viktigt att </w:t>
      </w:r>
      <w:r w:rsidR="007A4B61"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>åtgärda</w:t>
      </w:r>
      <w:r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 xml:space="preserve">. </w:t>
      </w:r>
    </w:p>
    <w:p w:rsidR="006F42F0" w:rsidRPr="00596342" w:rsidRDefault="006F42F0" w:rsidP="00B84A9A">
      <w:pPr>
        <w:ind w:right="-283"/>
        <w:rPr>
          <w:rFonts w:asciiTheme="minorHAnsi" w:eastAsia="Times New Roman" w:hAnsiTheme="minorHAnsi" w:cs="Calibri"/>
          <w:color w:val="000000"/>
          <w:szCs w:val="22"/>
          <w:lang w:eastAsia="sv-SE"/>
        </w:rPr>
      </w:pPr>
    </w:p>
    <w:p w:rsidR="00C34D4F" w:rsidRPr="00596342" w:rsidRDefault="00C34D4F" w:rsidP="00C34D4F">
      <w:pPr>
        <w:ind w:right="-283"/>
        <w:rPr>
          <w:rFonts w:asciiTheme="minorHAnsi" w:eastAsia="Times New Roman" w:hAnsiTheme="minorHAnsi" w:cs="Calibri"/>
          <w:color w:val="000000"/>
          <w:szCs w:val="22"/>
          <w:lang w:eastAsia="sv-SE"/>
        </w:rPr>
      </w:pPr>
      <w:r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 xml:space="preserve">Forskarna har tagit sin utgångspunkt i en branschgemensam </w:t>
      </w:r>
      <w:r w:rsidRPr="00596342">
        <w:rPr>
          <w:rFonts w:asciiTheme="minorHAnsi" w:hAnsiTheme="minorHAnsi" w:cs="Calibri"/>
          <w:b/>
          <w:bCs/>
        </w:rPr>
        <w:t>Strategisk agenda för sund konkurrens</w:t>
      </w:r>
      <w:r w:rsidRPr="00596342">
        <w:rPr>
          <w:rFonts w:asciiTheme="minorHAnsi" w:hAnsiTheme="minorHAnsi" w:cs="Calibri"/>
        </w:rPr>
        <w:t xml:space="preserve">. Den innehåller en gemensam vision, ett tydligt syfte och en definition av sund konkurrens. Vidare ingår sju spelregler som ska gälla för alla aktörer i arbetet med att ta steg i riktning mot visionen, samt tre fokusområden för samverkan: Kunskap och kompetens, Regelefterlevnad, Ansvarstagande. </w:t>
      </w:r>
    </w:p>
    <w:p w:rsidR="00C34D4F" w:rsidRPr="00596342" w:rsidRDefault="00C34D4F" w:rsidP="00B84A9A">
      <w:pPr>
        <w:ind w:right="-283"/>
        <w:rPr>
          <w:rFonts w:asciiTheme="minorHAnsi" w:eastAsia="Times New Roman" w:hAnsiTheme="minorHAnsi" w:cs="Calibri"/>
          <w:color w:val="000000"/>
          <w:szCs w:val="22"/>
          <w:lang w:eastAsia="sv-SE"/>
        </w:rPr>
      </w:pPr>
    </w:p>
    <w:p w:rsidR="0025734B" w:rsidRPr="00596342" w:rsidRDefault="0025734B" w:rsidP="00B84A9A">
      <w:pPr>
        <w:ind w:right="-283"/>
        <w:rPr>
          <w:rFonts w:asciiTheme="minorHAnsi" w:eastAsia="Times New Roman" w:hAnsiTheme="minorHAnsi" w:cs="Calibri"/>
          <w:color w:val="000000"/>
          <w:szCs w:val="22"/>
          <w:lang w:eastAsia="sv-SE"/>
        </w:rPr>
      </w:pPr>
      <w:r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>Resultatet är en a</w:t>
      </w:r>
      <w:r w:rsidR="008C25EE"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>ntologi</w:t>
      </w:r>
      <w:r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 xml:space="preserve"> som</w:t>
      </w:r>
      <w:r w:rsidR="00B84A9A"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 xml:space="preserve"> består av tio uppsatser </w:t>
      </w:r>
      <w:r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>vilka</w:t>
      </w:r>
      <w:r w:rsidR="00B84A9A"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 xml:space="preserve"> knyts samman </w:t>
      </w:r>
      <w:r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>genom</w:t>
      </w:r>
      <w:r w:rsidR="00B84A9A"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 xml:space="preserve"> en sammanfattande essay. Antologin avslutas med en reflektion om ledarskapets betydelse för att nå en attraktiv, sund och säker byggbransch.</w:t>
      </w:r>
      <w:r w:rsidR="006F42F0" w:rsidRPr="00596342">
        <w:rPr>
          <w:rFonts w:asciiTheme="minorHAnsi" w:eastAsia="Times New Roman" w:hAnsiTheme="minorHAnsi" w:cs="Calibri"/>
          <w:color w:val="000000"/>
          <w:szCs w:val="22"/>
          <w:lang w:eastAsia="sv-SE"/>
        </w:rPr>
        <w:t xml:space="preserve"> </w:t>
      </w:r>
    </w:p>
    <w:p w:rsidR="00C34D4F" w:rsidRPr="00596342" w:rsidRDefault="00C34D4F" w:rsidP="00B84A9A">
      <w:pPr>
        <w:ind w:right="-283"/>
        <w:rPr>
          <w:rFonts w:asciiTheme="minorHAnsi" w:eastAsia="Times New Roman" w:hAnsiTheme="minorHAnsi" w:cs="Calibri"/>
          <w:color w:val="000000"/>
          <w:szCs w:val="22"/>
          <w:lang w:eastAsia="sv-SE"/>
        </w:rPr>
      </w:pPr>
    </w:p>
    <w:p w:rsidR="008C25EE" w:rsidRPr="00596342" w:rsidRDefault="008C25EE" w:rsidP="008C25EE">
      <w:pPr>
        <w:rPr>
          <w:rFonts w:asciiTheme="minorHAnsi" w:eastAsia="Times New Roman" w:hAnsiTheme="minorHAnsi" w:cs="Calibri"/>
          <w:color w:val="212529"/>
          <w:szCs w:val="22"/>
          <w:lang w:eastAsia="sv-SE"/>
        </w:rPr>
      </w:pPr>
      <w:r w:rsidRPr="00596342">
        <w:rPr>
          <w:rFonts w:asciiTheme="minorHAnsi" w:eastAsia="Times New Roman" w:hAnsiTheme="minorHAnsi" w:cstheme="minorHAnsi"/>
          <w:color w:val="212529"/>
          <w:lang w:eastAsia="sv-SE"/>
        </w:rPr>
        <w:t>Målgrupp</w:t>
      </w:r>
      <w:r w:rsidR="006F42F0" w:rsidRPr="00596342">
        <w:rPr>
          <w:rFonts w:asciiTheme="minorHAnsi" w:eastAsia="Times New Roman" w:hAnsiTheme="minorHAnsi" w:cstheme="minorHAnsi"/>
          <w:color w:val="212529"/>
          <w:lang w:eastAsia="sv-SE"/>
        </w:rPr>
        <w:t xml:space="preserve"> för antologin</w:t>
      </w:r>
      <w:r w:rsidRPr="00596342">
        <w:rPr>
          <w:rFonts w:asciiTheme="minorHAnsi" w:eastAsia="Times New Roman" w:hAnsiTheme="minorHAnsi" w:cstheme="minorHAnsi"/>
          <w:color w:val="212529"/>
          <w:lang w:eastAsia="sv-SE"/>
        </w:rPr>
        <w:t xml:space="preserve"> är aktörer i och omkring </w:t>
      </w:r>
      <w:r w:rsidR="00596342" w:rsidRPr="00596342">
        <w:rPr>
          <w:rFonts w:asciiTheme="minorHAnsi" w:eastAsia="Times New Roman" w:hAnsiTheme="minorHAnsi" w:cstheme="minorHAnsi"/>
          <w:color w:val="212529"/>
          <w:lang w:eastAsia="sv-SE"/>
        </w:rPr>
        <w:t>s</w:t>
      </w:r>
      <w:r w:rsidRPr="00596342">
        <w:rPr>
          <w:rFonts w:asciiTheme="minorHAnsi" w:eastAsia="Times New Roman" w:hAnsiTheme="minorHAnsi" w:cstheme="minorHAnsi"/>
          <w:color w:val="212529"/>
          <w:lang w:eastAsia="sv-SE"/>
        </w:rPr>
        <w:t>ektorn som är intresserade av att bidra i sektorns utveckling</w:t>
      </w:r>
    </w:p>
    <w:p w:rsidR="00BB2978" w:rsidRPr="00596342" w:rsidRDefault="00BB2978" w:rsidP="00BB297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</w:rPr>
      </w:pPr>
    </w:p>
    <w:p w:rsidR="00DE2E74" w:rsidRPr="00596342" w:rsidRDefault="00DE2E74" w:rsidP="00BB297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</w:rPr>
      </w:pPr>
      <w:r w:rsidRPr="00596342">
        <w:rPr>
          <w:rFonts w:asciiTheme="minorHAnsi" w:hAnsiTheme="minorHAnsi" w:cstheme="minorHAnsi"/>
          <w:szCs w:val="22"/>
        </w:rPr>
        <w:t>Länk till antologin är här:</w:t>
      </w:r>
      <w:r w:rsidR="00596342" w:rsidRPr="00596342">
        <w:rPr>
          <w:rFonts w:asciiTheme="minorHAnsi" w:hAnsiTheme="minorHAnsi"/>
        </w:rPr>
        <w:t xml:space="preserve"> </w:t>
      </w:r>
      <w:hyperlink r:id="rId5" w:history="1">
        <w:r w:rsidR="00596342" w:rsidRPr="00596342">
          <w:rPr>
            <w:rStyle w:val="Hyperlnk"/>
            <w:rFonts w:asciiTheme="minorHAnsi" w:hAnsiTheme="minorHAnsi" w:cstheme="minorHAnsi"/>
            <w:szCs w:val="22"/>
          </w:rPr>
          <w:t>https://byggforetagen.se/app/uploads/2020/09/Sund-konkurrens-i-byggbranschen-En-forskningsantologi.pdf</w:t>
        </w:r>
      </w:hyperlink>
    </w:p>
    <w:p w:rsidR="00596342" w:rsidRPr="00596342" w:rsidRDefault="00596342" w:rsidP="00BB297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</w:rPr>
      </w:pPr>
    </w:p>
    <w:p w:rsidR="00DE2E74" w:rsidRPr="00596342" w:rsidRDefault="00DE2E74" w:rsidP="00BB297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</w:rPr>
      </w:pPr>
    </w:p>
    <w:p w:rsidR="00596342" w:rsidRPr="00596342" w:rsidRDefault="00596342">
      <w:pPr>
        <w:rPr>
          <w:rFonts w:asciiTheme="minorHAnsi" w:hAnsiTheme="minorHAnsi" w:cstheme="minorHAnsi"/>
          <w:szCs w:val="22"/>
        </w:rPr>
      </w:pPr>
      <w:r w:rsidRPr="00596342">
        <w:rPr>
          <w:rFonts w:asciiTheme="minorHAnsi" w:hAnsiTheme="minorHAnsi" w:cstheme="minorHAnsi"/>
          <w:szCs w:val="22"/>
        </w:rPr>
        <w:br w:type="page"/>
      </w:r>
    </w:p>
    <w:p w:rsidR="00DE2E74" w:rsidRPr="00596342" w:rsidRDefault="00DE2E74" w:rsidP="00BB297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szCs w:val="22"/>
        </w:rPr>
      </w:pPr>
      <w:r w:rsidRPr="00596342">
        <w:rPr>
          <w:rFonts w:asciiTheme="minorHAnsi" w:hAnsiTheme="minorHAnsi" w:cstheme="minorHAnsi"/>
          <w:b/>
          <w:bCs/>
          <w:szCs w:val="22"/>
        </w:rPr>
        <w:lastRenderedPageBreak/>
        <w:t>ILLUSTRATION</w:t>
      </w:r>
    </w:p>
    <w:p w:rsidR="00596342" w:rsidRPr="00596342" w:rsidRDefault="00596342" w:rsidP="00BB297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</w:rPr>
      </w:pPr>
    </w:p>
    <w:p w:rsidR="00596342" w:rsidRDefault="00596342" w:rsidP="00BB297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</w:rPr>
      </w:pPr>
    </w:p>
    <w:p w:rsidR="00596342" w:rsidRDefault="00596342" w:rsidP="00BB297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</w:rPr>
      </w:pPr>
      <w:r w:rsidRPr="0059634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7E58BBC5" wp14:editId="099E6435">
            <wp:extent cx="5756910" cy="56794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42" w:rsidRDefault="00596342" w:rsidP="00BB297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</w:rPr>
      </w:pPr>
    </w:p>
    <w:p w:rsidR="00596342" w:rsidRPr="00596342" w:rsidRDefault="00596342" w:rsidP="0059634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iCs/>
          <w:szCs w:val="22"/>
        </w:rPr>
      </w:pPr>
      <w:r w:rsidRPr="00596342">
        <w:rPr>
          <w:rFonts w:asciiTheme="minorHAnsi" w:hAnsiTheme="minorHAnsi" w:cstheme="minorHAnsi"/>
          <w:b/>
          <w:bCs/>
          <w:szCs w:val="22"/>
        </w:rPr>
        <w:t>Figur</w:t>
      </w:r>
      <w:r w:rsidRPr="00596342">
        <w:rPr>
          <w:rFonts w:asciiTheme="minorHAnsi" w:hAnsiTheme="minorHAnsi" w:cstheme="minorHAnsi"/>
          <w:szCs w:val="22"/>
        </w:rPr>
        <w:t xml:space="preserve">: </w:t>
      </w:r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I syfte att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kartlägga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hinder och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möjligheter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för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en sund konkurrens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inbjöd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Byggföretagen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i samverkan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övriga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arbetsgivarorganisationer och de fackliga organisationerna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våren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2019 till ett brett samtal om hur det ser ut i dag och om ett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önskat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framtida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läge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. Samtalen dokumenterades i en databas som sedan har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sammanställts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och analyserats. Resultatet visar att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såväl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hinder och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möjligheter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för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 att </w:t>
      </w:r>
      <w:proofErr w:type="spellStart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>uppna</w:t>
      </w:r>
      <w:proofErr w:type="spellEnd"/>
      <w:r w:rsidRPr="00596342">
        <w:rPr>
          <w:rFonts w:asciiTheme="minorHAnsi" w:eastAsia="Times New Roman" w:hAnsiTheme="minorHAnsi" w:cs="Times New Roman"/>
          <w:i/>
          <w:iCs/>
          <w:szCs w:val="22"/>
          <w:lang w:eastAsia="sv-SE"/>
        </w:rPr>
        <w:t xml:space="preserve">̊ en sund konkurrens kan indelas i fyra kategorier. Forskningsantologin belyser olika aspekter av dessa. </w:t>
      </w:r>
    </w:p>
    <w:p w:rsidR="00596342" w:rsidRPr="00596342" w:rsidRDefault="00596342" w:rsidP="00BB297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</w:rPr>
      </w:pPr>
    </w:p>
    <w:sectPr w:rsidR="00596342" w:rsidRPr="00596342" w:rsidSect="00E76C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4F8"/>
    <w:multiLevelType w:val="multilevel"/>
    <w:tmpl w:val="4B3C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03FF8"/>
    <w:multiLevelType w:val="multilevel"/>
    <w:tmpl w:val="BE6AA4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7054696"/>
    <w:multiLevelType w:val="multilevel"/>
    <w:tmpl w:val="38BC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17800"/>
    <w:multiLevelType w:val="multilevel"/>
    <w:tmpl w:val="CF24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02607"/>
    <w:multiLevelType w:val="multilevel"/>
    <w:tmpl w:val="3236A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2074ED"/>
    <w:multiLevelType w:val="multilevel"/>
    <w:tmpl w:val="F002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D1333"/>
    <w:multiLevelType w:val="multilevel"/>
    <w:tmpl w:val="90E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D912F9"/>
    <w:multiLevelType w:val="hybridMultilevel"/>
    <w:tmpl w:val="2304B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A5523"/>
    <w:multiLevelType w:val="hybridMultilevel"/>
    <w:tmpl w:val="A0AC7AC4"/>
    <w:lvl w:ilvl="0" w:tplc="2034D1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23AF"/>
    <w:multiLevelType w:val="multilevel"/>
    <w:tmpl w:val="3C06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52AF0"/>
    <w:multiLevelType w:val="multilevel"/>
    <w:tmpl w:val="E794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D3394"/>
    <w:multiLevelType w:val="hybridMultilevel"/>
    <w:tmpl w:val="F43A0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65D97"/>
    <w:multiLevelType w:val="hybridMultilevel"/>
    <w:tmpl w:val="6C3A8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F25BE"/>
    <w:multiLevelType w:val="multilevel"/>
    <w:tmpl w:val="4DE84F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30083D"/>
    <w:multiLevelType w:val="multilevel"/>
    <w:tmpl w:val="837E14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22740E"/>
    <w:multiLevelType w:val="multilevel"/>
    <w:tmpl w:val="2548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53"/>
    <w:rsid w:val="0000069E"/>
    <w:rsid w:val="00024FA8"/>
    <w:rsid w:val="00042A94"/>
    <w:rsid w:val="00044CFE"/>
    <w:rsid w:val="00080137"/>
    <w:rsid w:val="00091667"/>
    <w:rsid w:val="00106C71"/>
    <w:rsid w:val="00194525"/>
    <w:rsid w:val="001A30E9"/>
    <w:rsid w:val="001E74E9"/>
    <w:rsid w:val="0020698F"/>
    <w:rsid w:val="00242AC2"/>
    <w:rsid w:val="0025734B"/>
    <w:rsid w:val="00257F01"/>
    <w:rsid w:val="00277C3C"/>
    <w:rsid w:val="002908AE"/>
    <w:rsid w:val="002A321E"/>
    <w:rsid w:val="002A4FE8"/>
    <w:rsid w:val="002A7DAF"/>
    <w:rsid w:val="00331DF1"/>
    <w:rsid w:val="003408A3"/>
    <w:rsid w:val="00345F52"/>
    <w:rsid w:val="003A4A65"/>
    <w:rsid w:val="003F5B71"/>
    <w:rsid w:val="00437F6F"/>
    <w:rsid w:val="00463EC3"/>
    <w:rsid w:val="00472C2C"/>
    <w:rsid w:val="004A1410"/>
    <w:rsid w:val="004D1A48"/>
    <w:rsid w:val="004D7EC1"/>
    <w:rsid w:val="004E5E29"/>
    <w:rsid w:val="00573A8E"/>
    <w:rsid w:val="00596342"/>
    <w:rsid w:val="005C32AB"/>
    <w:rsid w:val="00603C66"/>
    <w:rsid w:val="00633A09"/>
    <w:rsid w:val="006E0CE1"/>
    <w:rsid w:val="006F42F0"/>
    <w:rsid w:val="00743088"/>
    <w:rsid w:val="007917B7"/>
    <w:rsid w:val="007A4B61"/>
    <w:rsid w:val="00824279"/>
    <w:rsid w:val="00836F93"/>
    <w:rsid w:val="0084580A"/>
    <w:rsid w:val="008647BA"/>
    <w:rsid w:val="00876F5E"/>
    <w:rsid w:val="008970CC"/>
    <w:rsid w:val="008C25EE"/>
    <w:rsid w:val="009322C3"/>
    <w:rsid w:val="00935615"/>
    <w:rsid w:val="009463F9"/>
    <w:rsid w:val="00966B61"/>
    <w:rsid w:val="00970EE5"/>
    <w:rsid w:val="00994418"/>
    <w:rsid w:val="009E7BCC"/>
    <w:rsid w:val="00A152F4"/>
    <w:rsid w:val="00A40DB3"/>
    <w:rsid w:val="00A643BF"/>
    <w:rsid w:val="00AA0B7D"/>
    <w:rsid w:val="00B22B0B"/>
    <w:rsid w:val="00B30304"/>
    <w:rsid w:val="00B531F1"/>
    <w:rsid w:val="00B84A9A"/>
    <w:rsid w:val="00BA44BD"/>
    <w:rsid w:val="00BB2978"/>
    <w:rsid w:val="00BB30E2"/>
    <w:rsid w:val="00BC646B"/>
    <w:rsid w:val="00C061AF"/>
    <w:rsid w:val="00C34D4F"/>
    <w:rsid w:val="00C55DB4"/>
    <w:rsid w:val="00C57FF8"/>
    <w:rsid w:val="00C9390D"/>
    <w:rsid w:val="00C965EC"/>
    <w:rsid w:val="00CA6053"/>
    <w:rsid w:val="00CC3DCB"/>
    <w:rsid w:val="00D07846"/>
    <w:rsid w:val="00D14F83"/>
    <w:rsid w:val="00D559D5"/>
    <w:rsid w:val="00D641A2"/>
    <w:rsid w:val="00D90CC8"/>
    <w:rsid w:val="00DC4F6C"/>
    <w:rsid w:val="00DE2E74"/>
    <w:rsid w:val="00E4434D"/>
    <w:rsid w:val="00E611AA"/>
    <w:rsid w:val="00E76CB6"/>
    <w:rsid w:val="00ED4D97"/>
    <w:rsid w:val="00EE33E2"/>
    <w:rsid w:val="00EF42B9"/>
    <w:rsid w:val="00F23669"/>
    <w:rsid w:val="00F5200C"/>
    <w:rsid w:val="00FB698C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1F91809-6105-B245-84DF-CABE6FF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7846"/>
    <w:rPr>
      <w:rFonts w:ascii="Arial" w:hAnsi="Arial"/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A0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6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0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A6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A0B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AA0B7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stycke">
    <w:name w:val="List Paragraph"/>
    <w:basedOn w:val="Normal"/>
    <w:uiPriority w:val="34"/>
    <w:qFormat/>
    <w:rsid w:val="00AA0B7D"/>
    <w:pPr>
      <w:ind w:left="720"/>
      <w:contextualSpacing/>
    </w:pPr>
    <w:rPr>
      <w:rFonts w:ascii="Calibri" w:hAnsi="Calibri"/>
      <w:szCs w:val="22"/>
    </w:rPr>
  </w:style>
  <w:style w:type="character" w:styleId="Hyperlnk">
    <w:name w:val="Hyperlink"/>
    <w:basedOn w:val="Standardstycketeckensnitt"/>
    <w:uiPriority w:val="99"/>
    <w:unhideWhenUsed/>
    <w:rsid w:val="00AA0B7D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A0B7D"/>
    <w:rPr>
      <w:i/>
      <w:iCs/>
    </w:rPr>
  </w:style>
  <w:style w:type="character" w:customStyle="1" w:styleId="apple-converted-space">
    <w:name w:val="apple-converted-space"/>
    <w:basedOn w:val="Standardstycketeckensnitt"/>
    <w:rsid w:val="00AA0B7D"/>
  </w:style>
  <w:style w:type="character" w:styleId="Olstomnmnande">
    <w:name w:val="Unresolved Mention"/>
    <w:basedOn w:val="Standardstycketeckensnitt"/>
    <w:uiPriority w:val="99"/>
    <w:rsid w:val="004D1A4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2A7D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table" w:styleId="Tabellrutnt">
    <w:name w:val="Table Grid"/>
    <w:basedOn w:val="Normaltabell"/>
    <w:uiPriority w:val="39"/>
    <w:rsid w:val="006E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472C2C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5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422">
          <w:marLeft w:val="72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592">
          <w:marLeft w:val="72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359">
          <w:marLeft w:val="72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008">
          <w:marLeft w:val="72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484">
          <w:marLeft w:val="72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78">
          <w:marLeft w:val="72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yggforetagen.se/app/uploads/2020/09/Sund-konkurrens-i-byggbranschen-En-forskningsantolo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Wäreborn</dc:creator>
  <cp:keywords/>
  <dc:description/>
  <cp:lastModifiedBy>Freyschuss, Anders</cp:lastModifiedBy>
  <cp:revision>2</cp:revision>
  <cp:lastPrinted>2019-12-13T07:42:00Z</cp:lastPrinted>
  <dcterms:created xsi:type="dcterms:W3CDTF">2020-10-01T08:57:00Z</dcterms:created>
  <dcterms:modified xsi:type="dcterms:W3CDTF">2020-10-01T08:57:00Z</dcterms:modified>
</cp:coreProperties>
</file>